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1B" w:rsidRPr="00AE1C1B" w:rsidRDefault="00AE1C1B" w:rsidP="00AE1C1B">
      <w:pPr>
        <w:shd w:val="clear" w:color="auto" w:fill="FFFFFF"/>
        <w:spacing w:after="0" w:line="240" w:lineRule="auto"/>
        <w:rPr>
          <w:rFonts w:ascii="Arial" w:eastAsia="Times New Roman" w:hAnsi="Arial" w:cs="Arial"/>
          <w:color w:val="000000"/>
          <w:sz w:val="18"/>
          <w:szCs w:val="18"/>
        </w:rPr>
      </w:pPr>
      <w:r w:rsidRPr="00AE1C1B">
        <w:rPr>
          <w:rFonts w:ascii="Arial" w:eastAsia="Times New Roman" w:hAnsi="Arial" w:cs="Arial"/>
          <w:color w:val="000000"/>
          <w:sz w:val="18"/>
          <w:szCs w:val="18"/>
        </w:rPr>
        <w:t>Quy định công tác cố vấn học tập của Trường Đại học Kiến trúc Hà Nội (Ban hành kèm theo Quyết định số 410/QĐ – ĐHKT – ĐT ngày 03 tháng 10 năm 2011 của Hiệu trưởng Trường Đại học Kiến trúc Hà Nội)</w:t>
      </w:r>
    </w:p>
    <w:p w:rsidR="00AE1C1B" w:rsidRPr="00AE1C1B" w:rsidRDefault="00AE1C1B" w:rsidP="00AE1C1B">
      <w:pPr>
        <w:shd w:val="clear" w:color="auto" w:fill="FFFFFF"/>
        <w:spacing w:before="100" w:beforeAutospacing="1" w:after="240" w:line="240" w:lineRule="auto"/>
        <w:rPr>
          <w:rFonts w:ascii="Arial" w:eastAsia="Times New Roman" w:hAnsi="Arial" w:cs="Arial"/>
          <w:color w:val="000000"/>
          <w:sz w:val="18"/>
          <w:szCs w:val="18"/>
        </w:rPr>
      </w:pPr>
      <w:r w:rsidRPr="00AE1C1B">
        <w:rPr>
          <w:rFonts w:ascii="Arial" w:eastAsia="Times New Roman" w:hAnsi="Arial" w:cs="Arial"/>
          <w:color w:val="000000"/>
          <w:sz w:val="18"/>
          <w:szCs w:val="18"/>
        </w:rPr>
        <w:br/>
      </w:r>
    </w:p>
    <w:tbl>
      <w:tblPr>
        <w:tblW w:w="10062" w:type="dxa"/>
        <w:tblInd w:w="-234" w:type="dxa"/>
        <w:tblCellMar>
          <w:left w:w="0" w:type="dxa"/>
          <w:right w:w="0" w:type="dxa"/>
        </w:tblCellMar>
        <w:tblLook w:val="04A0"/>
      </w:tblPr>
      <w:tblGrid>
        <w:gridCol w:w="4392"/>
        <w:gridCol w:w="5670"/>
      </w:tblGrid>
      <w:tr w:rsidR="00AE1C1B" w:rsidRPr="00AE1C1B" w:rsidTr="00AE1C1B">
        <w:tc>
          <w:tcPr>
            <w:tcW w:w="4392" w:type="dxa"/>
            <w:tcMar>
              <w:top w:w="0" w:type="dxa"/>
              <w:left w:w="108" w:type="dxa"/>
              <w:bottom w:w="0" w:type="dxa"/>
              <w:right w:w="108" w:type="dxa"/>
            </w:tcMar>
            <w:hideMark/>
          </w:tcPr>
          <w:p w:rsidR="00AE1C1B" w:rsidRPr="00AE1C1B" w:rsidRDefault="00AE1C1B" w:rsidP="00AE1C1B">
            <w:pPr>
              <w:spacing w:before="100" w:beforeAutospacing="1" w:after="100" w:afterAutospacing="1" w:line="340" w:lineRule="atLeast"/>
              <w:jc w:val="center"/>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lang w:val="pt-BR"/>
              </w:rPr>
              <w:t>BỘ XÂY DỰNG</w:t>
            </w:r>
          </w:p>
          <w:p w:rsidR="00AE1C1B" w:rsidRPr="00AE1C1B" w:rsidRDefault="00AE1C1B" w:rsidP="00AE1C1B">
            <w:pPr>
              <w:spacing w:before="100" w:beforeAutospacing="1" w:after="100" w:afterAutospacing="1" w:line="340" w:lineRule="atLeast"/>
              <w:jc w:val="center"/>
              <w:outlineLvl w:val="0"/>
              <w:rPr>
                <w:rFonts w:ascii="Times New Roman" w:eastAsia="Times New Roman" w:hAnsi="Times New Roman" w:cs="Times New Roman"/>
                <w:b/>
                <w:bCs/>
                <w:kern w:val="36"/>
                <w:sz w:val="48"/>
                <w:szCs w:val="48"/>
              </w:rPr>
            </w:pPr>
            <w:r w:rsidRPr="00AE1C1B">
              <w:rPr>
                <w:rFonts w:ascii="Times New Roman" w:eastAsia="Times New Roman" w:hAnsi="Times New Roman" w:cs="Times New Roman"/>
                <w:b/>
                <w:bCs/>
                <w:kern w:val="36"/>
                <w:sz w:val="20"/>
                <w:szCs w:val="20"/>
              </w:rPr>
              <w:t>TRƯỜNG ĐH KIẾN TRÚC HN</w:t>
            </w:r>
          </w:p>
          <w:p w:rsidR="00AE1C1B" w:rsidRPr="00AE1C1B" w:rsidRDefault="00AE1C1B" w:rsidP="00AE1C1B">
            <w:pPr>
              <w:spacing w:after="100" w:afterAutospacing="1" w:line="340" w:lineRule="atLeast"/>
              <w:jc w:val="center"/>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rPr>
              <w:t>Số:         /QĐ-ĐHKT-ĐT</w:t>
            </w:r>
          </w:p>
        </w:tc>
        <w:tc>
          <w:tcPr>
            <w:tcW w:w="5670" w:type="dxa"/>
            <w:tcMar>
              <w:top w:w="0" w:type="dxa"/>
              <w:left w:w="108" w:type="dxa"/>
              <w:bottom w:w="0" w:type="dxa"/>
              <w:right w:w="108" w:type="dxa"/>
            </w:tcMar>
            <w:hideMark/>
          </w:tcPr>
          <w:p w:rsidR="00AE1C1B" w:rsidRPr="00AE1C1B" w:rsidRDefault="00AE1C1B" w:rsidP="00AE1C1B">
            <w:pPr>
              <w:spacing w:before="40" w:after="100" w:afterAutospacing="1" w:line="216" w:lineRule="atLeast"/>
              <w:jc w:val="center"/>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rPr>
              <w:t>CỘNG HOÀ XÃ HỘI CHỦ NGHĨA VIỆT</w:t>
            </w:r>
            <w:r w:rsidRPr="00AE1C1B">
              <w:rPr>
                <w:rFonts w:ascii="Times New Roman" w:eastAsia="Times New Roman" w:hAnsi="Times New Roman" w:cs="Times New Roman"/>
                <w:sz w:val="20"/>
              </w:rPr>
              <w:t> </w:t>
            </w:r>
            <w:r w:rsidRPr="00AE1C1B">
              <w:rPr>
                <w:rFonts w:ascii="Times New Roman" w:eastAsia="Times New Roman" w:hAnsi="Times New Roman" w:cs="Times New Roman"/>
                <w:sz w:val="20"/>
                <w:szCs w:val="20"/>
              </w:rPr>
              <w:t>NAM</w:t>
            </w:r>
          </w:p>
          <w:p w:rsidR="00AE1C1B" w:rsidRPr="00AE1C1B" w:rsidRDefault="00AE1C1B" w:rsidP="00AE1C1B">
            <w:pPr>
              <w:spacing w:beforeAutospacing="1" w:after="100" w:afterAutospacing="1" w:line="216" w:lineRule="atLeast"/>
              <w:jc w:val="center"/>
              <w:rPr>
                <w:rFonts w:ascii="Times New Roman" w:eastAsia="Times New Roman" w:hAnsi="Times New Roman" w:cs="Times New Roman"/>
                <w:sz w:val="24"/>
                <w:szCs w:val="24"/>
              </w:rPr>
            </w:pPr>
            <w:r w:rsidRPr="00AE1C1B">
              <w:rPr>
                <w:rFonts w:ascii="Times New Roman" w:eastAsia="Times New Roman" w:hAnsi="Times New Roman" w:cs="Times New Roman"/>
                <w:b/>
                <w:bCs/>
                <w:sz w:val="20"/>
                <w:lang w:val="pt-BR"/>
              </w:rPr>
              <w:t>Độc lập – Tự do – Hạnh phúc</w:t>
            </w:r>
          </w:p>
          <w:p w:rsidR="00AE1C1B" w:rsidRPr="00AE1C1B" w:rsidRDefault="00AE1C1B" w:rsidP="00AE1C1B">
            <w:pPr>
              <w:spacing w:before="160" w:after="100" w:afterAutospacing="1" w:line="216" w:lineRule="atLeast"/>
              <w:jc w:val="center"/>
              <w:rPr>
                <w:rFonts w:ascii="Times New Roman" w:eastAsia="Times New Roman" w:hAnsi="Times New Roman" w:cs="Times New Roman"/>
                <w:sz w:val="24"/>
                <w:szCs w:val="24"/>
              </w:rPr>
            </w:pPr>
            <w:r w:rsidRPr="00AE1C1B">
              <w:rPr>
                <w:rFonts w:ascii="Times New Roman" w:eastAsia="Times New Roman" w:hAnsi="Times New Roman" w:cs="Times New Roman"/>
                <w:i/>
                <w:iCs/>
                <w:sz w:val="20"/>
                <w:lang w:val="pt-BR"/>
              </w:rPr>
              <w:t>Hà Nội, ngày 04 tháng 10 năm 2011</w:t>
            </w:r>
          </w:p>
        </w:tc>
      </w:tr>
    </w:tbl>
    <w:p w:rsidR="00AE1C1B" w:rsidRPr="00AE1C1B" w:rsidRDefault="00AE1C1B" w:rsidP="00AE1C1B">
      <w:pPr>
        <w:shd w:val="clear" w:color="auto" w:fill="FFFFFF"/>
        <w:spacing w:after="240" w:line="240" w:lineRule="auto"/>
        <w:jc w:val="both"/>
        <w:rPr>
          <w:rFonts w:ascii="Arial" w:eastAsia="Times New Roman" w:hAnsi="Arial" w:cs="Arial"/>
          <w:color w:val="000000"/>
          <w:sz w:val="18"/>
          <w:szCs w:val="18"/>
        </w:rPr>
      </w:pPr>
    </w:p>
    <w:p w:rsidR="00AE1C1B" w:rsidRPr="00AE1C1B" w:rsidRDefault="00AE1C1B" w:rsidP="00AE1C1B">
      <w:pPr>
        <w:shd w:val="clear" w:color="auto" w:fill="FFFFFF"/>
        <w:spacing w:before="120" w:after="120" w:line="340" w:lineRule="atLeast"/>
        <w:jc w:val="center"/>
        <w:rPr>
          <w:rFonts w:ascii="Times New Roman" w:eastAsia="Times New Roman" w:hAnsi="Times New Roman" w:cs="Times New Roman"/>
          <w:color w:val="000000"/>
          <w:sz w:val="24"/>
          <w:szCs w:val="24"/>
        </w:rPr>
      </w:pPr>
      <w:r w:rsidRPr="00AE1C1B">
        <w:rPr>
          <w:rFonts w:ascii="'Times New Roman'" w:eastAsia="Times New Roman" w:hAnsi="'Times New Roman'" w:cs="Times New Roman"/>
          <w:b/>
          <w:bCs/>
          <w:color w:val="000000"/>
          <w:sz w:val="27"/>
        </w:rPr>
        <w:t>QUY ĐỊNH</w:t>
      </w:r>
    </w:p>
    <w:p w:rsidR="00AE1C1B" w:rsidRPr="00AE1C1B" w:rsidRDefault="00AE1C1B" w:rsidP="00AE1C1B">
      <w:pPr>
        <w:shd w:val="clear" w:color="auto" w:fill="FFFFFF"/>
        <w:spacing w:before="120" w:after="120" w:line="340" w:lineRule="atLeast"/>
        <w:jc w:val="center"/>
        <w:rPr>
          <w:rFonts w:ascii="Times New Roman" w:eastAsia="Times New Roman" w:hAnsi="Times New Roman" w:cs="Times New Roman"/>
          <w:color w:val="000000"/>
          <w:sz w:val="24"/>
          <w:szCs w:val="24"/>
        </w:rPr>
      </w:pPr>
      <w:r w:rsidRPr="00AE1C1B">
        <w:rPr>
          <w:rFonts w:ascii="'Times New Roman'" w:eastAsia="Times New Roman" w:hAnsi="'Times New Roman'" w:cs="Times New Roman"/>
          <w:b/>
          <w:bCs/>
          <w:color w:val="000000"/>
          <w:sz w:val="24"/>
          <w:szCs w:val="24"/>
        </w:rPr>
        <w:t>Công tác cố vấn học tập của Trường Đại học Kiến trúc Hà Nội</w:t>
      </w:r>
    </w:p>
    <w:p w:rsidR="00AE1C1B" w:rsidRPr="00AE1C1B" w:rsidRDefault="00AE1C1B" w:rsidP="00AE1C1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24"/>
          <w:szCs w:val="24"/>
        </w:rPr>
      </w:pPr>
      <w:r w:rsidRPr="00AE1C1B">
        <w:rPr>
          <w:rFonts w:ascii="'Times New Roman'" w:eastAsia="Times New Roman" w:hAnsi="'Times New Roman'" w:cs="Times New Roman"/>
          <w:i/>
          <w:iCs/>
          <w:color w:val="000000"/>
          <w:sz w:val="20"/>
        </w:rPr>
        <w:t xml:space="preserve">(Ban hành kèm </w:t>
      </w:r>
      <w:proofErr w:type="gramStart"/>
      <w:r w:rsidRPr="00AE1C1B">
        <w:rPr>
          <w:rFonts w:ascii="'Times New Roman'" w:eastAsia="Times New Roman" w:hAnsi="'Times New Roman'" w:cs="Times New Roman"/>
          <w:i/>
          <w:iCs/>
          <w:color w:val="000000"/>
          <w:sz w:val="20"/>
        </w:rPr>
        <w:t>theo</w:t>
      </w:r>
      <w:proofErr w:type="gramEnd"/>
      <w:r w:rsidRPr="00AE1C1B">
        <w:rPr>
          <w:rFonts w:ascii="'Times New Roman'" w:eastAsia="Times New Roman" w:hAnsi="'Times New Roman'" w:cs="Times New Roman"/>
          <w:i/>
          <w:iCs/>
          <w:color w:val="000000"/>
          <w:sz w:val="20"/>
        </w:rPr>
        <w:t xml:space="preserve"> Quyết định số 410/QĐ – ĐHKT – ĐT ngày 03 tháng 10 năm 2011</w:t>
      </w:r>
    </w:p>
    <w:p w:rsidR="00AE1C1B" w:rsidRPr="00AE1C1B" w:rsidRDefault="00AE1C1B" w:rsidP="00AE1C1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i/>
          <w:iCs/>
          <w:color w:val="000000"/>
          <w:sz w:val="20"/>
        </w:rPr>
        <w:t>của</w:t>
      </w:r>
      <w:proofErr w:type="gramEnd"/>
      <w:r w:rsidRPr="00AE1C1B">
        <w:rPr>
          <w:rFonts w:ascii="'Times New Roman'" w:eastAsia="Times New Roman" w:hAnsi="'Times New Roman'" w:cs="Times New Roman"/>
          <w:i/>
          <w:iCs/>
          <w:color w:val="000000"/>
          <w:sz w:val="20"/>
        </w:rPr>
        <w:t xml:space="preserve"> Hiệu trưởng Trường Đại học Kiến trúc Hà Nội)</w:t>
      </w:r>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pacing w:val="-6"/>
          <w:sz w:val="26"/>
          <w:szCs w:val="26"/>
        </w:rPr>
        <w:t> </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Căn cứ Quy chế đào tạo đại học và cao đẳng hệ chính quy theo hệ thống tín chỉ </w:t>
      </w:r>
      <w:r w:rsidRPr="00AE1C1B">
        <w:rPr>
          <w:rFonts w:ascii="'Times New Roman'" w:eastAsia="Times New Roman" w:hAnsi="'Times New Roman'" w:cs="Times New Roman"/>
          <w:i/>
          <w:iCs/>
          <w:color w:val="000000"/>
          <w:sz w:val="24"/>
          <w:szCs w:val="24"/>
        </w:rPr>
        <w:t>(Ban hành kèm theo Quyết định số 43/2007/QĐ-BGDĐT ngày 15/8/2007 của Bộ trưởng Bộ Giáo dục và Đào tạo), </w:t>
      </w:r>
      <w:r w:rsidRPr="00AE1C1B">
        <w:rPr>
          <w:rFonts w:ascii="'Times New Roman'" w:eastAsia="Times New Roman" w:hAnsi="'Times New Roman'" w:cs="Times New Roman"/>
          <w:color w:val="000000"/>
          <w:sz w:val="24"/>
          <w:szCs w:val="24"/>
          <w:lang w:val="pt-BR"/>
        </w:rPr>
        <w:t>Hướng dẫn thực hiện quy chế đào tạo đại học hệ chính quy theo hệ thống tín chỉ </w:t>
      </w:r>
      <w:r w:rsidRPr="00AE1C1B">
        <w:rPr>
          <w:rFonts w:ascii="'Times New Roman'" w:eastAsia="Times New Roman" w:hAnsi="'Times New Roman'" w:cs="Times New Roman"/>
          <w:color w:val="000000"/>
          <w:sz w:val="24"/>
          <w:szCs w:val="24"/>
        </w:rPr>
        <w:t>của Trường Đại học Kiến trúc Hà Nội (</w:t>
      </w:r>
      <w:r w:rsidRPr="00AE1C1B">
        <w:rPr>
          <w:rFonts w:ascii="'Times New Roman'" w:eastAsia="Times New Roman" w:hAnsi="'Times New Roman'" w:cs="Times New Roman"/>
          <w:i/>
          <w:iCs/>
          <w:color w:val="000000"/>
          <w:sz w:val="24"/>
          <w:szCs w:val="24"/>
          <w:lang w:val="pt-BR"/>
        </w:rPr>
        <w:t>Ban hành kèm theo Quyết định số 409/QĐ-ĐHKT–ĐT ngày 03 tháng 10 năm 2011 của Hiệu trưởng Trường Đại học Kiến trúc Hà Nội</w:t>
      </w:r>
      <w:r w:rsidRPr="00AE1C1B">
        <w:rPr>
          <w:rFonts w:ascii="'Times New Roman'" w:eastAsia="Times New Roman" w:hAnsi="'Times New Roman'" w:cs="Times New Roman"/>
          <w:color w:val="000000"/>
          <w:sz w:val="24"/>
          <w:szCs w:val="24"/>
        </w:rPr>
        <w:t>) và tình hình thực tế của Nhà trường, Hiệu trưởng Trường Đại học Kiến trúc Hà Nội quy định về công tác cố vấn học tập tại trường đại học Kiến trúc Hà Nội như sau:</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b/>
          <w:bCs/>
          <w:color w:val="000000"/>
          <w:sz w:val="24"/>
          <w:szCs w:val="24"/>
        </w:rPr>
        <w:t>Điều 1.</w:t>
      </w:r>
      <w:proofErr w:type="gramEnd"/>
      <w:r w:rsidRPr="00AE1C1B">
        <w:rPr>
          <w:rFonts w:ascii="'Times New Roman'" w:eastAsia="Times New Roman" w:hAnsi="'Times New Roman'" w:cs="Times New Roman"/>
          <w:b/>
          <w:bCs/>
          <w:color w:val="000000"/>
          <w:sz w:val="24"/>
          <w:szCs w:val="24"/>
        </w:rPr>
        <w:t xml:space="preserve"> Cố vấn học tập</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pacing w:val="-2"/>
          <w:sz w:val="24"/>
          <w:szCs w:val="24"/>
        </w:rPr>
        <w:t>Cố vấn học tập (CVHT) là chức danh do Nhà trường quy định, là những người được lựa chọn từ các giảng viên hoặc cán bộ quản lý đào tạo đã tốt nghiệp đại học thuộc khối ngành đào tạo của các khoa và có ít nhất 5 năm tham gia giảng dạy, quản lý.</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xml:space="preserve">Mỗi cố vấn học tập được giao phụ trách một hoặc một số lớp sinh viên </w:t>
      </w:r>
      <w:proofErr w:type="gramStart"/>
      <w:r w:rsidRPr="00AE1C1B">
        <w:rPr>
          <w:rFonts w:ascii="'Times New Roman'" w:eastAsia="Times New Roman" w:hAnsi="'Times New Roman'" w:cs="Times New Roman"/>
          <w:color w:val="000000"/>
          <w:sz w:val="24"/>
          <w:szCs w:val="24"/>
        </w:rPr>
        <w:t>theo</w:t>
      </w:r>
      <w:proofErr w:type="gramEnd"/>
      <w:r w:rsidRPr="00AE1C1B">
        <w:rPr>
          <w:rFonts w:ascii="'Times New Roman'" w:eastAsia="Times New Roman" w:hAnsi="'Times New Roman'" w:cs="Times New Roman"/>
          <w:color w:val="000000"/>
          <w:sz w:val="24"/>
          <w:szCs w:val="24"/>
        </w:rPr>
        <w:t xml:space="preserve"> ngành đào tạo và theo khóa học, có nhiệm vụ trợ giúp sinh viên một cách chuyên nghiệp về mọi mặt của hoạt động học tập, rèn luyện, nghiên cứu khoa học… trong cả khóa học.</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Danh sách CVHT và sinh viên phụ trách của mỗi CVHT do Trưởng khoa đề nghị và Hiệu trưởng quyết định.</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b/>
          <w:bCs/>
          <w:color w:val="000000"/>
          <w:sz w:val="24"/>
          <w:szCs w:val="24"/>
        </w:rPr>
        <w:t>Điều 2.</w:t>
      </w:r>
      <w:proofErr w:type="gramEnd"/>
      <w:r w:rsidRPr="00AE1C1B">
        <w:rPr>
          <w:rFonts w:ascii="'Times New Roman'" w:eastAsia="Times New Roman" w:hAnsi="'Times New Roman'" w:cs="Times New Roman"/>
          <w:b/>
          <w:bCs/>
          <w:color w:val="000000"/>
          <w:sz w:val="24"/>
          <w:szCs w:val="24"/>
        </w:rPr>
        <w:t xml:space="preserve"> Tiêu chuẩn cố vấn học tập</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lastRenderedPageBreak/>
        <w:t>Để đáp ứng được yêu cầu nhiệm vụ, CVHT phải có các tiêu chuẩn sau:</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pacing w:val="-6"/>
          <w:sz w:val="24"/>
          <w:szCs w:val="24"/>
        </w:rPr>
        <w:t>1. Có tinh thần trách nhiệm cao trong công tác, nhiệt tình đối với nhiệm vụ được giao.</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2. Hiểu biết về chủ trương, đường lối của Đảng, chính sách, pháp luật của Nhà nước, đặc biệt, về giáo dục đại học.</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3. Nắm vững các quy chế, quy định của Bộ giáo dục và Đào tạo và của Nhà trường về tổ chức và quản lý đào tạo đại học như:</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xml:space="preserve">- Quy chế đào tạo đại học và cao đẳng hệ chính quy theo hệ thống tín </w:t>
      </w:r>
      <w:proofErr w:type="gramStart"/>
      <w:r w:rsidRPr="00AE1C1B">
        <w:rPr>
          <w:rFonts w:ascii="'Times New Roman'" w:eastAsia="Times New Roman" w:hAnsi="'Times New Roman'" w:cs="Times New Roman"/>
          <w:color w:val="000000"/>
          <w:sz w:val="24"/>
          <w:szCs w:val="24"/>
        </w:rPr>
        <w:t>chỉ  </w:t>
      </w:r>
      <w:r w:rsidRPr="00AE1C1B">
        <w:rPr>
          <w:rFonts w:ascii="'Times New Roman'" w:eastAsia="Times New Roman" w:hAnsi="'Times New Roman'" w:cs="Times New Roman"/>
          <w:i/>
          <w:iCs/>
          <w:color w:val="000000"/>
          <w:sz w:val="24"/>
          <w:szCs w:val="24"/>
        </w:rPr>
        <w:t>(</w:t>
      </w:r>
      <w:proofErr w:type="gramEnd"/>
      <w:r w:rsidRPr="00AE1C1B">
        <w:rPr>
          <w:rFonts w:ascii="'Times New Roman'" w:eastAsia="Times New Roman" w:hAnsi="'Times New Roman'" w:cs="Times New Roman"/>
          <w:i/>
          <w:iCs/>
          <w:color w:val="000000"/>
          <w:sz w:val="24"/>
          <w:szCs w:val="24"/>
        </w:rPr>
        <w:t>Ban hành kèm theo Quyết định số 43/2007/QĐ-BGDĐT ngày 15/8/2007 của Bộ trưởng Bộ Giáo dục và Đào tạo);</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pacing w:val="-4"/>
          <w:sz w:val="24"/>
          <w:szCs w:val="24"/>
          <w:lang w:val="pt-BR"/>
        </w:rPr>
        <w:t>- Hướng dẫn thực hiện Quy chế đào tạo đại học hệ chính quy theo hệ thống tín chỉ </w:t>
      </w:r>
      <w:r w:rsidRPr="00AE1C1B">
        <w:rPr>
          <w:rFonts w:ascii="'Times New Roman'" w:eastAsia="Times New Roman" w:hAnsi="'Times New Roman'" w:cs="Times New Roman"/>
          <w:color w:val="000000"/>
          <w:spacing w:val="-4"/>
          <w:sz w:val="24"/>
          <w:szCs w:val="24"/>
        </w:rPr>
        <w:t> của Trường Đại học Kiến trúc Hà Nội (</w:t>
      </w:r>
      <w:r w:rsidRPr="00AE1C1B">
        <w:rPr>
          <w:rFonts w:ascii="'Times New Roman'" w:eastAsia="Times New Roman" w:hAnsi="'Times New Roman'" w:cs="Times New Roman"/>
          <w:i/>
          <w:iCs/>
          <w:color w:val="000000"/>
          <w:spacing w:val="-4"/>
          <w:sz w:val="24"/>
          <w:szCs w:val="24"/>
          <w:lang w:val="pt-BR"/>
        </w:rPr>
        <w:t>Ban hành kèm theo Quyết định số 409/QĐ-ĐHKT-ĐT ngày 03 tháng 10 năm 2011 của Hiệu trưởng Trường Đại học Kiến trúc Hà Nội</w:t>
      </w:r>
      <w:r w:rsidRPr="00AE1C1B">
        <w:rPr>
          <w:rFonts w:ascii="'Times New Roman'" w:eastAsia="Times New Roman" w:hAnsi="'Times New Roman'" w:cs="Times New Roman"/>
          <w:i/>
          <w:iCs/>
          <w:color w:val="000000"/>
          <w:spacing w:val="-4"/>
          <w:sz w:val="24"/>
          <w:szCs w:val="24"/>
        </w:rPr>
        <w:t>).</w:t>
      </w:r>
    </w:p>
    <w:p w:rsidR="00AE1C1B" w:rsidRPr="00AE1C1B" w:rsidRDefault="00AE1C1B" w:rsidP="00AE1C1B">
      <w:pPr>
        <w:shd w:val="clear" w:color="auto" w:fill="FFFFFF"/>
        <w:spacing w:before="120" w:after="120" w:line="360" w:lineRule="atLeast"/>
        <w:ind w:firstLine="567"/>
        <w:jc w:val="both"/>
        <w:rPr>
          <w:rFonts w:ascii="Arial" w:eastAsia="Times New Roman" w:hAnsi="Arial" w:cs="Arial"/>
          <w:color w:val="000000"/>
          <w:sz w:val="18"/>
          <w:szCs w:val="18"/>
        </w:rPr>
      </w:pPr>
      <w:r w:rsidRPr="00AE1C1B">
        <w:rPr>
          <w:rFonts w:ascii="'Times New Roman'" w:eastAsia="Times New Roman" w:hAnsi="'Times New Roman'" w:cs="Arial"/>
          <w:sz w:val="24"/>
          <w:szCs w:val="24"/>
        </w:rPr>
        <w:t>- Quy chế học sinh, sinh viên các trường đại học, cao đẳng và trung cấp chuyên nghiệp hệ chính quy </w:t>
      </w:r>
      <w:r w:rsidRPr="00AE1C1B">
        <w:rPr>
          <w:rFonts w:ascii="'Times New Roman'" w:eastAsia="Times New Roman" w:hAnsi="'Times New Roman'" w:cs="Arial"/>
          <w:i/>
          <w:iCs/>
          <w:sz w:val="24"/>
          <w:szCs w:val="24"/>
        </w:rPr>
        <w:t>(Ban hành kèm theo Quyết định số 42/2007/QĐ-BGDĐT ngày 13 tháng 8 năm 2007 của Bộ trưởng Bộ Giáo dục và Đào tạo);</w:t>
      </w:r>
    </w:p>
    <w:p w:rsidR="00AE1C1B" w:rsidRPr="00AE1C1B" w:rsidRDefault="00AE1C1B" w:rsidP="00AE1C1B">
      <w:pPr>
        <w:shd w:val="clear" w:color="auto" w:fill="FFFFFF"/>
        <w:spacing w:before="120" w:after="120" w:line="360" w:lineRule="atLeast"/>
        <w:ind w:firstLine="567"/>
        <w:jc w:val="both"/>
        <w:rPr>
          <w:rFonts w:ascii="Arial" w:eastAsia="Times New Roman" w:hAnsi="Arial" w:cs="Arial"/>
          <w:color w:val="000000"/>
          <w:sz w:val="18"/>
          <w:szCs w:val="18"/>
        </w:rPr>
      </w:pPr>
      <w:r w:rsidRPr="00AE1C1B">
        <w:rPr>
          <w:rFonts w:ascii="'Times New Roman'" w:eastAsia="Times New Roman" w:hAnsi="'Times New Roman'" w:cs="Arial"/>
          <w:sz w:val="24"/>
          <w:szCs w:val="24"/>
        </w:rPr>
        <w:t>- Các quy chế, quy định khác liên quan đến nghiên cứu khoa học, học bổng, khen thưởng, kỷ luật…</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b/>
          <w:bCs/>
          <w:color w:val="000000"/>
          <w:sz w:val="24"/>
          <w:szCs w:val="24"/>
        </w:rPr>
        <w:t>Điều 3.</w:t>
      </w:r>
      <w:proofErr w:type="gramEnd"/>
      <w:r w:rsidRPr="00AE1C1B">
        <w:rPr>
          <w:rFonts w:ascii="'Times New Roman'" w:eastAsia="Times New Roman" w:hAnsi="'Times New Roman'" w:cs="Times New Roman"/>
          <w:b/>
          <w:bCs/>
          <w:color w:val="000000"/>
          <w:sz w:val="24"/>
          <w:szCs w:val="24"/>
        </w:rPr>
        <w:t xml:space="preserve"> Nhiệm vụ của cố vấn học tập</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1. Lập danh sách lớp sinh viên được phân công phụ trách, trong đó, tóm tắt thông tin cá nhân sinh viên về hoàn cảnh gia đình, sức khỏe và điều kiện học tập.</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CVHT lập và gửi kế hoạch cụ thể về lịch tiếp xúc sinh viên tại văn phòng, cách thức trao đổi thông tin (qua email, điện thoại…) về Phòng Đào tạo và khoa chủ quản trong tuần đầu mỗi học kỳ.</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2. Tư vấn cho sinh viên các vấn đề liên quan đến học tập:</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Chương trình, thời gian và kế hoạch học tập tương ứng với ngành đào tạo;</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Thủ tục và thời gian đăng ký khối lượng học tập từng học kỳ trên cổng thông tin tín chỉ;</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Đăng ký khối lượng học tập: số tín chỉ tối thiểu, tối đa, điều kiện tiên quyết, xếp hạng năm học, xếp hạng học lực của sinh viên;</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Hủy hoặc đăng ký bổ sung học phần;</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lastRenderedPageBreak/>
        <w:t xml:space="preserve">- Kế hoạch và hình thức thi, kiểm tra, cách tính điểm học phần, điểm trung bình </w:t>
      </w:r>
      <w:proofErr w:type="gramStart"/>
      <w:r w:rsidRPr="00AE1C1B">
        <w:rPr>
          <w:rFonts w:ascii="'Times New Roman'" w:eastAsia="Times New Roman" w:hAnsi="'Times New Roman'" w:cs="Times New Roman"/>
          <w:color w:val="000000"/>
          <w:sz w:val="24"/>
          <w:szCs w:val="24"/>
        </w:rPr>
        <w:t>chung</w:t>
      </w:r>
      <w:proofErr w:type="gramEnd"/>
      <w:r w:rsidRPr="00AE1C1B">
        <w:rPr>
          <w:rFonts w:ascii="'Times New Roman'" w:eastAsia="Times New Roman" w:hAnsi="'Times New Roman'" w:cs="Times New Roman"/>
          <w:color w:val="000000"/>
          <w:sz w:val="24"/>
          <w:szCs w:val="24"/>
        </w:rPr>
        <w:t xml:space="preserve"> học kỳ, trung bình chung tích lũy, kế hoạch và thủ tục học lại, học cải thiện điểm, học vượt, học hai chương trình đồng thời;</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pacing w:val="-4"/>
          <w:sz w:val="24"/>
          <w:szCs w:val="24"/>
        </w:rPr>
        <w:t>- Kế hoạch và hình thức xét xử lý kết quả học tập, rèn luyện của sinh viên trong năm học của Nhà trường, các hình thức khen thưởng và kỷ luật, điều kiện bị buộc thôi học;</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xml:space="preserve">- Kế hoạch, hình thức, điều kiện làm và bảo vệ đồ </w:t>
      </w:r>
      <w:proofErr w:type="gramStart"/>
      <w:r w:rsidRPr="00AE1C1B">
        <w:rPr>
          <w:rFonts w:ascii="'Times New Roman'" w:eastAsia="Times New Roman" w:hAnsi="'Times New Roman'" w:cs="Times New Roman"/>
          <w:color w:val="000000"/>
          <w:sz w:val="24"/>
          <w:szCs w:val="24"/>
        </w:rPr>
        <w:t>án</w:t>
      </w:r>
      <w:proofErr w:type="gramEnd"/>
      <w:r w:rsidRPr="00AE1C1B">
        <w:rPr>
          <w:rFonts w:ascii="'Times New Roman'" w:eastAsia="Times New Roman" w:hAnsi="'Times New Roman'" w:cs="Times New Roman"/>
          <w:color w:val="000000"/>
          <w:sz w:val="24"/>
          <w:szCs w:val="24"/>
        </w:rPr>
        <w:t xml:space="preserve"> tốt nghiệp, xét và công nhận tốt nghiệp;</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Các vấn đề khác như nghiên cứu khoa học, thi sinh viên giỏi, chế độ học bổng, các chế độ chính sách…</w:t>
      </w:r>
    </w:p>
    <w:p w:rsidR="00AE1C1B" w:rsidRPr="00AE1C1B" w:rsidRDefault="00AE1C1B" w:rsidP="00AE1C1B">
      <w:pPr>
        <w:shd w:val="clear" w:color="auto" w:fill="FFFFFF"/>
        <w:spacing w:before="120" w:after="120" w:line="360" w:lineRule="atLeast"/>
        <w:ind w:left="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3. Hướng dẫn sinh viên tiếp cận các nguồn học liệu.</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4. Phối hợp chặt chẽ với các đơn vị và tổ chức đoàn thể của Nhà trường trong việc tổ chức cho sinh viên tham gia các hoạt động phong trào, các hoạt động xã hội.</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5. Phối hợp với các khoa, Phòng Chính trị và Công tác sinh viên, Đoàn Thanh niên, Hội sinh viên Trường để theo dõi đánh giá toàn diện về học tập và rèn luyện của sinh viên; kết hợp với Ban cán sự và Chi đoàn lớp chấm điểm rèn luyện của sinh viên.</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xml:space="preserve">6. Tổ chức họp với lớp sinh viên ít nhất mỗi tháng 1 lần để </w:t>
      </w:r>
      <w:proofErr w:type="gramStart"/>
      <w:r w:rsidRPr="00AE1C1B">
        <w:rPr>
          <w:rFonts w:ascii="'Times New Roman'" w:eastAsia="Times New Roman" w:hAnsi="'Times New Roman'" w:cs="Times New Roman"/>
          <w:color w:val="000000"/>
          <w:sz w:val="24"/>
          <w:szCs w:val="24"/>
        </w:rPr>
        <w:t>thu</w:t>
      </w:r>
      <w:proofErr w:type="gramEnd"/>
      <w:r w:rsidRPr="00AE1C1B">
        <w:rPr>
          <w:rFonts w:ascii="'Times New Roman'" w:eastAsia="Times New Roman" w:hAnsi="'Times New Roman'" w:cs="Times New Roman"/>
          <w:color w:val="000000"/>
          <w:sz w:val="24"/>
          <w:szCs w:val="24"/>
        </w:rPr>
        <w:t xml:space="preserve"> nhận ý kiến phản hồi của sinh viên, tham dự các hội nghị lớp sinh viên và chi đoàn.</w:t>
      </w:r>
    </w:p>
    <w:p w:rsidR="00AE1C1B" w:rsidRPr="00AE1C1B" w:rsidRDefault="00AE1C1B" w:rsidP="00AE1C1B">
      <w:pPr>
        <w:shd w:val="clear" w:color="auto" w:fill="FFFFFF"/>
        <w:spacing w:before="120" w:after="12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pacing w:val="-2"/>
          <w:sz w:val="24"/>
          <w:szCs w:val="24"/>
        </w:rPr>
        <w:t>7. Tham gia các khóa đào tạo về chuyên môn, nghiệp vụ liên quan đến công tác CVHT do Nhà trường tổ chức, tham gia họp kiểm điểm tổng kết, đánh giá hoạt động công tác CVHT mỗi học kỳ 2 lần. Thời gian họp cụ thể do Nhà trường thông báo.</w:t>
      </w:r>
    </w:p>
    <w:p w:rsidR="00AE1C1B" w:rsidRPr="00AE1C1B" w:rsidRDefault="00AE1C1B" w:rsidP="00AE1C1B">
      <w:pPr>
        <w:shd w:val="clear" w:color="auto" w:fill="FFFFFF"/>
        <w:spacing w:before="120" w:after="120" w:line="360" w:lineRule="atLeast"/>
        <w:ind w:firstLine="573"/>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b/>
          <w:bCs/>
          <w:color w:val="000000"/>
          <w:spacing w:val="-2"/>
          <w:sz w:val="24"/>
          <w:szCs w:val="24"/>
        </w:rPr>
        <w:t>Điều 4.</w:t>
      </w:r>
      <w:proofErr w:type="gramEnd"/>
      <w:r w:rsidRPr="00AE1C1B">
        <w:rPr>
          <w:rFonts w:ascii="'Times New Roman'" w:eastAsia="Times New Roman" w:hAnsi="'Times New Roman'" w:cs="Times New Roman"/>
          <w:b/>
          <w:bCs/>
          <w:color w:val="000000"/>
          <w:spacing w:val="-2"/>
          <w:sz w:val="24"/>
          <w:szCs w:val="24"/>
        </w:rPr>
        <w:t xml:space="preserve"> Chế độ báo cáo</w:t>
      </w:r>
    </w:p>
    <w:p w:rsidR="00AE1C1B" w:rsidRPr="00AE1C1B" w:rsidRDefault="00AE1C1B" w:rsidP="00AE1C1B">
      <w:pPr>
        <w:shd w:val="clear" w:color="auto" w:fill="FFFFFF"/>
        <w:spacing w:before="120" w:after="12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1. Hàng tháng hoặc đột xuất CVHT phải báo cáo Trưởng khoa bằng văn bản các nội dung sau:</w:t>
      </w:r>
    </w:p>
    <w:p w:rsidR="00AE1C1B" w:rsidRPr="00AE1C1B" w:rsidRDefault="00AE1C1B" w:rsidP="00AE1C1B">
      <w:pPr>
        <w:shd w:val="clear" w:color="auto" w:fill="FFFFFF"/>
        <w:spacing w:before="120" w:after="12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Báo cáo hàng tháng tình hình sinh viên lớp phụ trách;</w:t>
      </w:r>
    </w:p>
    <w:p w:rsidR="00AE1C1B" w:rsidRPr="00AE1C1B" w:rsidRDefault="00AE1C1B" w:rsidP="00AE1C1B">
      <w:pPr>
        <w:shd w:val="clear" w:color="auto" w:fill="FFFFFF"/>
        <w:spacing w:before="120" w:after="12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Nội dung và kết luận tại các cuộc họp với lớp phụ trách;</w:t>
      </w:r>
    </w:p>
    <w:p w:rsidR="00AE1C1B" w:rsidRPr="00AE1C1B" w:rsidRDefault="00AE1C1B" w:rsidP="00AE1C1B">
      <w:pPr>
        <w:shd w:val="clear" w:color="auto" w:fill="FFFFFF"/>
        <w:spacing w:before="120" w:after="12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Các trường hợp sinh viên gặp khó khăn cần được giúp đỡ;</w:t>
      </w:r>
    </w:p>
    <w:p w:rsidR="00AE1C1B" w:rsidRPr="00AE1C1B" w:rsidRDefault="00AE1C1B" w:rsidP="00AE1C1B">
      <w:pPr>
        <w:shd w:val="clear" w:color="auto" w:fill="FFFFFF"/>
        <w:spacing w:before="120" w:after="12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Các đề nghị khen thưởng, kỉ luật sinh viên lớp phụ trách.</w:t>
      </w:r>
    </w:p>
    <w:p w:rsidR="00AE1C1B" w:rsidRPr="00AE1C1B" w:rsidRDefault="00AE1C1B" w:rsidP="00AE1C1B">
      <w:pPr>
        <w:shd w:val="clear" w:color="auto" w:fill="FFFFFF"/>
        <w:spacing w:before="120" w:after="12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pacing w:val="-2"/>
          <w:sz w:val="24"/>
          <w:szCs w:val="24"/>
        </w:rPr>
        <w:t>2. Báo cáo những vấn đề liên quan đến công tác sinh viên cho phòng Chính trị và Công tác sinh viên.</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b/>
          <w:bCs/>
          <w:color w:val="000000"/>
          <w:sz w:val="24"/>
          <w:szCs w:val="24"/>
        </w:rPr>
        <w:t>Điều 5.</w:t>
      </w:r>
      <w:proofErr w:type="gramEnd"/>
      <w:r w:rsidRPr="00AE1C1B">
        <w:rPr>
          <w:rFonts w:ascii="'Times New Roman'" w:eastAsia="Times New Roman" w:hAnsi="'Times New Roman'" w:cs="Times New Roman"/>
          <w:b/>
          <w:bCs/>
          <w:color w:val="000000"/>
          <w:sz w:val="24"/>
          <w:szCs w:val="24"/>
        </w:rPr>
        <w:t xml:space="preserve"> Quyền lợi của cố vấn học tập</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lastRenderedPageBreak/>
        <w:t>1. CVHT được tham gia các cuộc họp xét khen thưởng, kỷ luật, xét tốt nghiệp, xét chọn học bổng, tài trợ… có liên quan đến sinh viên được phụ trách; có quyền phát biểu, phản biện và đề xuất ý kiến của mình.</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xml:space="preserve">2. Được tham dự các lớp tập huấn, bồi dưỡng về CVHT do Khoa, Nhà trường tổ chức, được cung cấp các điều kiện để làm việc như: phòng làm việc và các trang thiết bị cần thiết; danh sách sinh viên; sổ </w:t>
      </w:r>
      <w:proofErr w:type="gramStart"/>
      <w:r w:rsidRPr="00AE1C1B">
        <w:rPr>
          <w:rFonts w:ascii="'Times New Roman'" w:eastAsia="Times New Roman" w:hAnsi="'Times New Roman'" w:cs="Times New Roman"/>
          <w:color w:val="000000"/>
          <w:sz w:val="24"/>
          <w:szCs w:val="24"/>
        </w:rPr>
        <w:t>tay</w:t>
      </w:r>
      <w:proofErr w:type="gramEnd"/>
      <w:r w:rsidRPr="00AE1C1B">
        <w:rPr>
          <w:rFonts w:ascii="'Times New Roman'" w:eastAsia="Times New Roman" w:hAnsi="'Times New Roman'" w:cs="Times New Roman"/>
          <w:color w:val="000000"/>
          <w:sz w:val="24"/>
          <w:szCs w:val="24"/>
        </w:rPr>
        <w:t xml:space="preserve"> cố vấn học tập…</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3. Chế độ được hưởng:</w:t>
      </w:r>
    </w:p>
    <w:p w:rsidR="00AE1C1B" w:rsidRPr="00AE1C1B" w:rsidRDefault="00AE1C1B" w:rsidP="00AE1C1B">
      <w:pPr>
        <w:shd w:val="clear" w:color="auto" w:fill="FFFFFF"/>
        <w:spacing w:before="120" w:after="120" w:line="360" w:lineRule="atLeast"/>
        <w:ind w:firstLine="629"/>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CVHT được hưởng phụ cấp trách nhiệm tính bằng 15% giờ định mức đối với số lượng sinh viên phụ trách ít hơn 50, được nhân hệ số khi số lượng sinh viên lớn hơn như sau:</w:t>
      </w:r>
    </w:p>
    <w:p w:rsidR="00AE1C1B" w:rsidRPr="00AE1C1B" w:rsidRDefault="00AE1C1B" w:rsidP="00AE1C1B">
      <w:pPr>
        <w:shd w:val="clear" w:color="auto" w:fill="FFFFFF"/>
        <w:spacing w:before="60" w:after="6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Hệ số 1</w:t>
      </w:r>
      <w:proofErr w:type="gramStart"/>
      <w:r w:rsidRPr="00AE1C1B">
        <w:rPr>
          <w:rFonts w:ascii="'Times New Roman'" w:eastAsia="Times New Roman" w:hAnsi="'Times New Roman'" w:cs="Times New Roman"/>
          <w:color w:val="000000"/>
          <w:sz w:val="24"/>
          <w:szCs w:val="24"/>
        </w:rPr>
        <w:t>,2</w:t>
      </w:r>
      <w:proofErr w:type="gramEnd"/>
      <w:r w:rsidRPr="00AE1C1B">
        <w:rPr>
          <w:rFonts w:ascii="'Times New Roman'" w:eastAsia="Times New Roman" w:hAnsi="'Times New Roman'" w:cs="Times New Roman"/>
          <w:color w:val="000000"/>
          <w:sz w:val="24"/>
          <w:szCs w:val="24"/>
        </w:rPr>
        <w:t xml:space="preserve"> nếu lớp phụ trách có số lượng sinh viên từ 50 đến dưới 100;</w:t>
      </w:r>
    </w:p>
    <w:p w:rsidR="00AE1C1B" w:rsidRPr="00AE1C1B" w:rsidRDefault="00AE1C1B" w:rsidP="00AE1C1B">
      <w:pPr>
        <w:shd w:val="clear" w:color="auto" w:fill="FFFFFF"/>
        <w:spacing w:before="60" w:after="6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Hệ số 1</w:t>
      </w:r>
      <w:proofErr w:type="gramStart"/>
      <w:r w:rsidRPr="00AE1C1B">
        <w:rPr>
          <w:rFonts w:ascii="'Times New Roman'" w:eastAsia="Times New Roman" w:hAnsi="'Times New Roman'" w:cs="Times New Roman"/>
          <w:color w:val="000000"/>
          <w:sz w:val="24"/>
          <w:szCs w:val="24"/>
        </w:rPr>
        <w:t>,4</w:t>
      </w:r>
      <w:proofErr w:type="gramEnd"/>
      <w:r w:rsidRPr="00AE1C1B">
        <w:rPr>
          <w:rFonts w:ascii="'Times New Roman'" w:eastAsia="Times New Roman" w:hAnsi="'Times New Roman'" w:cs="Times New Roman"/>
          <w:color w:val="000000"/>
          <w:sz w:val="24"/>
          <w:szCs w:val="24"/>
        </w:rPr>
        <w:t xml:space="preserve"> nếu lớp phụ trách có số lượng sinh viên từ 100 đến dưới 150;</w:t>
      </w:r>
    </w:p>
    <w:p w:rsidR="00AE1C1B" w:rsidRPr="00AE1C1B" w:rsidRDefault="00AE1C1B" w:rsidP="00AE1C1B">
      <w:pPr>
        <w:shd w:val="clear" w:color="auto" w:fill="FFFFFF"/>
        <w:spacing w:before="60" w:after="60" w:line="360" w:lineRule="atLeast"/>
        <w:ind w:firstLine="573"/>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Hệ số 1</w:t>
      </w:r>
      <w:proofErr w:type="gramStart"/>
      <w:r w:rsidRPr="00AE1C1B">
        <w:rPr>
          <w:rFonts w:ascii="'Times New Roman'" w:eastAsia="Times New Roman" w:hAnsi="'Times New Roman'" w:cs="Times New Roman"/>
          <w:color w:val="000000"/>
          <w:sz w:val="24"/>
          <w:szCs w:val="24"/>
        </w:rPr>
        <w:t>,6</w:t>
      </w:r>
      <w:proofErr w:type="gramEnd"/>
      <w:r w:rsidRPr="00AE1C1B">
        <w:rPr>
          <w:rFonts w:ascii="'Times New Roman'" w:eastAsia="Times New Roman" w:hAnsi="'Times New Roman'" w:cs="Times New Roman"/>
          <w:color w:val="000000"/>
          <w:sz w:val="24"/>
          <w:szCs w:val="24"/>
        </w:rPr>
        <w:t xml:space="preserve"> nếu lớp phụ trách có số lượng sinh viên từ 150 trở lên;</w:t>
      </w:r>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color w:val="000000"/>
          <w:spacing w:val="-4"/>
          <w:sz w:val="24"/>
          <w:szCs w:val="24"/>
        </w:rPr>
        <w:t>Phụ cấp trách nhiệm được tính vào khối lượng giờ giảng từng năm học của CVHT.</w:t>
      </w:r>
      <w:proofErr w:type="gramEnd"/>
    </w:p>
    <w:p w:rsidR="00AE1C1B" w:rsidRPr="00AE1C1B" w:rsidRDefault="00AE1C1B" w:rsidP="00AE1C1B">
      <w:pPr>
        <w:shd w:val="clear" w:color="auto" w:fill="FFFFFF"/>
        <w:spacing w:before="120" w:after="120" w:line="360" w:lineRule="atLeast"/>
        <w:ind w:firstLine="57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CVHT được nhà trường xét khen thưởng nếu hoàn thành tốt nhiệm vụ, được ưu tiên khi xét các danh hiệu thi đua, lên lương, xét chức danh, xét chọn đi học tập, bồi dưỡng hoặc bổ nhiệm cán bộ.</w:t>
      </w:r>
    </w:p>
    <w:p w:rsidR="00AE1C1B" w:rsidRPr="00AE1C1B" w:rsidRDefault="00AE1C1B" w:rsidP="00AE1C1B">
      <w:pPr>
        <w:shd w:val="clear" w:color="auto" w:fill="FFFFFF"/>
        <w:spacing w:before="120" w:after="120" w:line="340" w:lineRule="atLeast"/>
        <w:ind w:firstLine="570"/>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b/>
          <w:bCs/>
          <w:color w:val="000000"/>
          <w:sz w:val="24"/>
          <w:szCs w:val="24"/>
        </w:rPr>
        <w:t>Điều 6.</w:t>
      </w:r>
      <w:proofErr w:type="gramEnd"/>
      <w:r w:rsidRPr="00AE1C1B">
        <w:rPr>
          <w:rFonts w:ascii="'Times New Roman'" w:eastAsia="Times New Roman" w:hAnsi="'Times New Roman'" w:cs="Times New Roman"/>
          <w:b/>
          <w:bCs/>
          <w:color w:val="000000"/>
          <w:sz w:val="24"/>
          <w:szCs w:val="24"/>
        </w:rPr>
        <w:t xml:space="preserve"> Tổ chức thực hiện</w:t>
      </w:r>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xml:space="preserve">1. Các Trưởng khoa chịu trách nhiệm trước Nhà trường về mọi mặt hoạt động của đội </w:t>
      </w:r>
      <w:proofErr w:type="gramStart"/>
      <w:r w:rsidRPr="00AE1C1B">
        <w:rPr>
          <w:rFonts w:ascii="'Times New Roman'" w:eastAsia="Times New Roman" w:hAnsi="'Times New Roman'" w:cs="Times New Roman"/>
          <w:color w:val="000000"/>
          <w:sz w:val="24"/>
          <w:szCs w:val="24"/>
        </w:rPr>
        <w:t>ngũ</w:t>
      </w:r>
      <w:proofErr w:type="gramEnd"/>
      <w:r w:rsidRPr="00AE1C1B">
        <w:rPr>
          <w:rFonts w:ascii="'Times New Roman'" w:eastAsia="Times New Roman" w:hAnsi="'Times New Roman'" w:cs="Times New Roman"/>
          <w:color w:val="000000"/>
          <w:sz w:val="24"/>
          <w:szCs w:val="24"/>
        </w:rPr>
        <w:t xml:space="preserve"> CVHT của khoa, trực tiếp quản lý, theo dõi hoạt động của CVHT.</w:t>
      </w:r>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color w:val="000000"/>
          <w:sz w:val="24"/>
          <w:szCs w:val="24"/>
        </w:rPr>
        <w:t>Kết thúc học kỳ, năm học, Trưởng khoa có phiếu nhận xét đánh giá từng CVHT.</w:t>
      </w:r>
      <w:proofErr w:type="gramEnd"/>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2. Phòng Đào tạo, Phòng Chính trị và Công tác sinh viên, Phòng Khảo thí và Đảm bảo chất lượng phối hợp chặt chẽ với các khoa để hỗ trợ hoạt động cho các CVHT về các mặt như:</w:t>
      </w:r>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Hướng dẫn chuyên môn, nghiệp vụ;</w:t>
      </w:r>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Tổ chức các lớp đào tạo, bồi dưỡng CVHT;</w:t>
      </w:r>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Tổ chức lấy ý kiến phản hồi của sinh viên về hoạt động của CVHT để kịp thời rút kinh nghiệm;</w:t>
      </w:r>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4"/>
          <w:szCs w:val="24"/>
        </w:rPr>
        <w:t>- Thông báo danh sách và lịch làm việc của CVHT trên website, bản tin của khoa và của Nhà trường.</w:t>
      </w:r>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color w:val="000000"/>
          <w:sz w:val="24"/>
          <w:szCs w:val="24"/>
        </w:rPr>
        <w:t>3. Phòng Tài chính – Kế toán phối hợp với Phòng Đào tạo và các khoa để hướng dẫn và thực hiện việc thanh toán khối lượng công tác CVHT.</w:t>
      </w:r>
      <w:proofErr w:type="gramEnd"/>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color w:val="000000"/>
          <w:spacing w:val="-4"/>
          <w:sz w:val="24"/>
          <w:szCs w:val="24"/>
        </w:rPr>
        <w:lastRenderedPageBreak/>
        <w:t>4. Phòng Quản trị thiết bị đảm bảo về cơ sở vật chất (phòng làm việc, trang thiết bị và các điều kiện đi kèm) để phục vụ tốt nhất cho các hoạt động của CVHT và sinh viên.</w:t>
      </w:r>
      <w:proofErr w:type="gramEnd"/>
    </w:p>
    <w:p w:rsidR="00AE1C1B" w:rsidRPr="00AE1C1B" w:rsidRDefault="00AE1C1B" w:rsidP="00AE1C1B">
      <w:pPr>
        <w:shd w:val="clear" w:color="auto" w:fill="FFFFFF"/>
        <w:spacing w:before="120" w:after="120" w:line="340" w:lineRule="atLeast"/>
        <w:ind w:firstLine="567"/>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b/>
          <w:bCs/>
          <w:color w:val="000000"/>
          <w:sz w:val="24"/>
          <w:szCs w:val="24"/>
        </w:rPr>
        <w:t>Điều 7.</w:t>
      </w:r>
      <w:proofErr w:type="gramEnd"/>
      <w:r w:rsidRPr="00AE1C1B">
        <w:rPr>
          <w:rFonts w:ascii="'Times New Roman'" w:eastAsia="Times New Roman" w:hAnsi="'Times New Roman'" w:cs="Times New Roman"/>
          <w:b/>
          <w:bCs/>
          <w:color w:val="000000"/>
          <w:sz w:val="24"/>
          <w:szCs w:val="24"/>
        </w:rPr>
        <w:t xml:space="preserve"> Điều khoản thi hành</w:t>
      </w:r>
    </w:p>
    <w:p w:rsidR="00AE1C1B" w:rsidRPr="00AE1C1B" w:rsidRDefault="00AE1C1B" w:rsidP="00AE1C1B">
      <w:pPr>
        <w:shd w:val="clear" w:color="auto" w:fill="FFFFFF"/>
        <w:spacing w:before="120" w:after="120" w:line="360" w:lineRule="atLeast"/>
        <w:ind w:firstLine="567"/>
        <w:jc w:val="both"/>
        <w:rPr>
          <w:rFonts w:ascii="Times New Roman" w:eastAsia="Times New Roman" w:hAnsi="Times New Roman" w:cs="Times New Roman"/>
          <w:color w:val="000000"/>
          <w:sz w:val="24"/>
          <w:szCs w:val="24"/>
        </w:rPr>
      </w:pPr>
      <w:proofErr w:type="gramStart"/>
      <w:r w:rsidRPr="00AE1C1B">
        <w:rPr>
          <w:rFonts w:ascii="'Times New Roman'" w:eastAsia="Times New Roman" w:hAnsi="'Times New Roman'" w:cs="Times New Roman"/>
          <w:color w:val="000000"/>
          <w:sz w:val="24"/>
          <w:szCs w:val="24"/>
        </w:rPr>
        <w:t>Quy định này được thực hiện từ năm học 2011 – 2012.</w:t>
      </w:r>
      <w:proofErr w:type="gramEnd"/>
      <w:r w:rsidRPr="00AE1C1B">
        <w:rPr>
          <w:rFonts w:ascii="'Times New Roman'" w:eastAsia="Times New Roman" w:hAnsi="'Times New Roman'" w:cs="Times New Roman"/>
          <w:color w:val="000000"/>
          <w:sz w:val="24"/>
          <w:szCs w:val="24"/>
        </w:rPr>
        <w:t xml:space="preserve"> Trong quá trình thực hiện nếu phát sinh những vấn đề mới, các đơn vị kịp thời báo cáo về Nhà trường (qua Phòng Đào tạo) để tổng hợp báo cáo Hiệu trưởng điều chỉnh bổ sung.</w:t>
      </w:r>
    </w:p>
    <w:p w:rsidR="00AE1C1B" w:rsidRPr="00AE1C1B" w:rsidRDefault="00AE1C1B" w:rsidP="00AE1C1B">
      <w:pPr>
        <w:shd w:val="clear" w:color="auto" w:fill="FFFFFF"/>
        <w:spacing w:before="100" w:beforeAutospacing="1" w:after="100" w:afterAutospacing="1" w:line="270" w:lineRule="atLeast"/>
        <w:ind w:left="360"/>
        <w:jc w:val="both"/>
        <w:rPr>
          <w:rFonts w:ascii="Times New Roman" w:eastAsia="Times New Roman" w:hAnsi="Times New Roman" w:cs="Times New Roman"/>
          <w:color w:val="000000"/>
          <w:sz w:val="24"/>
          <w:szCs w:val="24"/>
        </w:rPr>
      </w:pPr>
      <w:r w:rsidRPr="00AE1C1B">
        <w:rPr>
          <w:rFonts w:ascii="Times New Roman" w:eastAsia="Times New Roman" w:hAnsi="Times New Roman" w:cs="Times New Roman"/>
          <w:color w:val="000000"/>
          <w:sz w:val="28"/>
          <w:szCs w:val="28"/>
        </w:rPr>
        <w:t> </w:t>
      </w:r>
    </w:p>
    <w:tbl>
      <w:tblPr>
        <w:tblW w:w="0" w:type="auto"/>
        <w:tblInd w:w="108" w:type="dxa"/>
        <w:tblCellMar>
          <w:left w:w="0" w:type="dxa"/>
          <w:right w:w="0" w:type="dxa"/>
        </w:tblCellMar>
        <w:tblLook w:val="04A0"/>
      </w:tblPr>
      <w:tblGrid>
        <w:gridCol w:w="5812"/>
        <w:gridCol w:w="3260"/>
      </w:tblGrid>
      <w:tr w:rsidR="00AE1C1B" w:rsidRPr="00AE1C1B" w:rsidTr="00AE1C1B">
        <w:tc>
          <w:tcPr>
            <w:tcW w:w="5812" w:type="dxa"/>
            <w:tcMar>
              <w:top w:w="0" w:type="dxa"/>
              <w:left w:w="108" w:type="dxa"/>
              <w:bottom w:w="0" w:type="dxa"/>
              <w:right w:w="108" w:type="dxa"/>
            </w:tcMar>
            <w:hideMark/>
          </w:tcPr>
          <w:p w:rsidR="00AE1C1B" w:rsidRPr="00AE1C1B" w:rsidRDefault="00AE1C1B" w:rsidP="00AE1C1B">
            <w:pPr>
              <w:spacing w:before="100" w:beforeAutospacing="1" w:after="100" w:afterAutospacing="1" w:line="240" w:lineRule="auto"/>
              <w:jc w:val="both"/>
              <w:rPr>
                <w:rFonts w:ascii="Times New Roman" w:eastAsia="Times New Roman" w:hAnsi="Times New Roman" w:cs="Times New Roman"/>
                <w:sz w:val="24"/>
                <w:szCs w:val="24"/>
              </w:rPr>
            </w:pPr>
            <w:r w:rsidRPr="00AE1C1B">
              <w:rPr>
                <w:rFonts w:ascii=".VnTime" w:eastAsia="Times New Roman" w:hAnsi=".VnTime" w:cs="Times New Roman"/>
                <w:b/>
                <w:bCs/>
                <w:sz w:val="24"/>
                <w:szCs w:val="24"/>
              </w:rPr>
              <w:t> </w:t>
            </w:r>
          </w:p>
          <w:p w:rsidR="00AE1C1B" w:rsidRPr="00AE1C1B" w:rsidRDefault="00AE1C1B" w:rsidP="00AE1C1B">
            <w:pPr>
              <w:spacing w:before="100" w:beforeAutospacing="1" w:after="100" w:afterAutospacing="1" w:line="240" w:lineRule="auto"/>
              <w:jc w:val="both"/>
              <w:rPr>
                <w:rFonts w:ascii="Times New Roman" w:eastAsia="Times New Roman" w:hAnsi="Times New Roman" w:cs="Times New Roman"/>
                <w:sz w:val="24"/>
                <w:szCs w:val="24"/>
              </w:rPr>
            </w:pPr>
            <w:r w:rsidRPr="00AE1C1B">
              <w:rPr>
                <w:rFonts w:ascii="'Times New Roman'" w:eastAsia="Times New Roman" w:hAnsi="'Times New Roman'" w:cs="Times New Roman"/>
                <w:b/>
                <w:bCs/>
                <w:i/>
                <w:iCs/>
                <w:sz w:val="20"/>
              </w:rPr>
              <w:t>Nơi nhận:</w:t>
            </w:r>
          </w:p>
          <w:p w:rsidR="00AE1C1B" w:rsidRPr="00AE1C1B" w:rsidRDefault="00AE1C1B" w:rsidP="00AE1C1B">
            <w:pPr>
              <w:spacing w:before="100" w:beforeAutospacing="1" w:after="100" w:afterAutospacing="1" w:line="240" w:lineRule="auto"/>
              <w:ind w:left="513" w:hanging="285"/>
              <w:jc w:val="both"/>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rPr>
              <w:t>- Ban Giám hiệu</w:t>
            </w:r>
            <w:r w:rsidRPr="00AE1C1B">
              <w:rPr>
                <w:rFonts w:ascii="'Times New Roman'" w:eastAsia="Times New Roman" w:hAnsi="'Times New Roman'" w:cs="Times New Roman"/>
                <w:sz w:val="20"/>
              </w:rPr>
              <w:t> </w:t>
            </w:r>
            <w:r w:rsidRPr="00AE1C1B">
              <w:rPr>
                <w:rFonts w:ascii="'Times New Roman'" w:eastAsia="Times New Roman" w:hAnsi="'Times New Roman'" w:cs="Times New Roman"/>
                <w:i/>
                <w:iCs/>
                <w:sz w:val="20"/>
              </w:rPr>
              <w:t>(để chỉ đạo);</w:t>
            </w:r>
            <w:r w:rsidRPr="00AE1C1B">
              <w:rPr>
                <w:rFonts w:ascii="'Times New Roman'" w:eastAsia="Times New Roman" w:hAnsi="'Times New Roman'" w:cs="Times New Roman"/>
                <w:sz w:val="20"/>
              </w:rPr>
              <w:t> </w:t>
            </w:r>
            <w:r w:rsidRPr="00AE1C1B">
              <w:rPr>
                <w:rFonts w:ascii="'Times New Roman'" w:eastAsia="Times New Roman" w:hAnsi="'Times New Roman'" w:cs="Times New Roman"/>
                <w:i/>
                <w:iCs/>
                <w:sz w:val="20"/>
              </w:rPr>
              <w:t> </w:t>
            </w:r>
          </w:p>
          <w:p w:rsidR="00AE1C1B" w:rsidRPr="00AE1C1B" w:rsidRDefault="00AE1C1B" w:rsidP="00AE1C1B">
            <w:pPr>
              <w:spacing w:before="100" w:beforeAutospacing="1" w:after="100" w:afterAutospacing="1" w:line="240" w:lineRule="auto"/>
              <w:ind w:left="513" w:hanging="285"/>
              <w:jc w:val="both"/>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rPr>
              <w:t>- Các đơn vị trong Trường</w:t>
            </w:r>
            <w:r w:rsidRPr="00AE1C1B">
              <w:rPr>
                <w:rFonts w:ascii="'Times New Roman'" w:eastAsia="Times New Roman" w:hAnsi="'Times New Roman'" w:cs="Times New Roman"/>
                <w:sz w:val="20"/>
              </w:rPr>
              <w:t> </w:t>
            </w:r>
            <w:r w:rsidRPr="00AE1C1B">
              <w:rPr>
                <w:rFonts w:ascii="'Times New Roman'" w:eastAsia="Times New Roman" w:hAnsi="'Times New Roman'" w:cs="Times New Roman"/>
                <w:i/>
                <w:iCs/>
                <w:sz w:val="20"/>
              </w:rPr>
              <w:t>(để thực hiện);</w:t>
            </w:r>
          </w:p>
          <w:p w:rsidR="00AE1C1B" w:rsidRPr="00AE1C1B" w:rsidRDefault="00AE1C1B" w:rsidP="00AE1C1B">
            <w:pPr>
              <w:spacing w:before="100" w:beforeAutospacing="1" w:after="100" w:afterAutospacing="1" w:line="240" w:lineRule="auto"/>
              <w:ind w:left="513" w:hanging="285"/>
              <w:jc w:val="both"/>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lang w:val="pt-BR"/>
              </w:rPr>
              <w:t>- Các lớp sinh viên</w:t>
            </w:r>
            <w:r w:rsidRPr="00AE1C1B">
              <w:rPr>
                <w:rFonts w:ascii="'Times New Roman'" w:eastAsia="Times New Roman" w:hAnsi="'Times New Roman'" w:cs="Times New Roman"/>
                <w:sz w:val="20"/>
                <w:lang w:val="pt-BR"/>
              </w:rPr>
              <w:t> </w:t>
            </w:r>
            <w:r w:rsidRPr="00AE1C1B">
              <w:rPr>
                <w:rFonts w:ascii="'Times New Roman'" w:eastAsia="Times New Roman" w:hAnsi="'Times New Roman'" w:cs="Times New Roman"/>
                <w:i/>
                <w:iCs/>
                <w:sz w:val="20"/>
                <w:lang w:val="pt-BR"/>
              </w:rPr>
              <w:t>(để thực hiện);</w:t>
            </w:r>
          </w:p>
          <w:p w:rsidR="00AE1C1B" w:rsidRPr="00AE1C1B" w:rsidRDefault="00AE1C1B" w:rsidP="00AE1C1B">
            <w:pPr>
              <w:spacing w:before="100" w:beforeAutospacing="1" w:after="100" w:afterAutospacing="1" w:line="240" w:lineRule="auto"/>
              <w:ind w:left="513" w:hanging="285"/>
              <w:jc w:val="both"/>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lang w:val="pt-BR"/>
              </w:rPr>
              <w:t>- Trung tâm TTTV</w:t>
            </w:r>
            <w:r w:rsidRPr="00AE1C1B">
              <w:rPr>
                <w:rFonts w:ascii="'Times New Roman'" w:eastAsia="Times New Roman" w:hAnsi="'Times New Roman'" w:cs="Times New Roman"/>
                <w:sz w:val="20"/>
                <w:lang w:val="pt-BR"/>
              </w:rPr>
              <w:t> </w:t>
            </w:r>
            <w:r w:rsidRPr="00AE1C1B">
              <w:rPr>
                <w:rFonts w:ascii="'Times New Roman'" w:eastAsia="Times New Roman" w:hAnsi="'Times New Roman'" w:cs="Times New Roman"/>
                <w:i/>
                <w:iCs/>
                <w:sz w:val="20"/>
                <w:lang w:val="pt-BR"/>
              </w:rPr>
              <w:t>(để đưa lên website);</w:t>
            </w:r>
          </w:p>
          <w:p w:rsidR="00AE1C1B" w:rsidRPr="00AE1C1B" w:rsidRDefault="00AE1C1B" w:rsidP="00AE1C1B">
            <w:pPr>
              <w:spacing w:before="100" w:beforeAutospacing="1" w:after="100" w:afterAutospacing="1" w:line="240" w:lineRule="auto"/>
              <w:ind w:left="513" w:hanging="285"/>
              <w:jc w:val="both"/>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lang w:val="pt-BR"/>
              </w:rPr>
              <w:t>- Bộ Giáo dục và Đào tạo</w:t>
            </w:r>
            <w:r w:rsidRPr="00AE1C1B">
              <w:rPr>
                <w:rFonts w:ascii="'Times New Roman'" w:eastAsia="Times New Roman" w:hAnsi="'Times New Roman'" w:cs="Times New Roman"/>
                <w:sz w:val="20"/>
                <w:lang w:val="pt-BR"/>
              </w:rPr>
              <w:t> </w:t>
            </w:r>
            <w:r w:rsidRPr="00AE1C1B">
              <w:rPr>
                <w:rFonts w:ascii="'Times New Roman'" w:eastAsia="Times New Roman" w:hAnsi="'Times New Roman'" w:cs="Times New Roman"/>
                <w:i/>
                <w:iCs/>
                <w:sz w:val="20"/>
                <w:lang w:val="pt-BR"/>
              </w:rPr>
              <w:t>(để báo cáo);</w:t>
            </w:r>
          </w:p>
          <w:p w:rsidR="00AE1C1B" w:rsidRPr="00AE1C1B" w:rsidRDefault="00AE1C1B" w:rsidP="00AE1C1B">
            <w:pPr>
              <w:spacing w:before="100" w:beforeAutospacing="1" w:after="100" w:afterAutospacing="1" w:line="240" w:lineRule="auto"/>
              <w:ind w:left="513" w:hanging="285"/>
              <w:jc w:val="both"/>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lang w:val="es-ES_tradnl"/>
              </w:rPr>
              <w:t>- Bộ Xây dựng</w:t>
            </w:r>
            <w:r w:rsidRPr="00AE1C1B">
              <w:rPr>
                <w:rFonts w:ascii="'Times New Roman'" w:eastAsia="Times New Roman" w:hAnsi="'Times New Roman'" w:cs="Times New Roman"/>
                <w:i/>
                <w:iCs/>
                <w:sz w:val="20"/>
                <w:lang w:val="es-ES_tradnl"/>
              </w:rPr>
              <w:t> (để báo cáo);</w:t>
            </w:r>
          </w:p>
          <w:p w:rsidR="00AE1C1B" w:rsidRPr="00AE1C1B" w:rsidRDefault="00AE1C1B" w:rsidP="00AE1C1B">
            <w:pPr>
              <w:spacing w:before="100" w:beforeAutospacing="1" w:after="100" w:afterAutospacing="1" w:line="240" w:lineRule="auto"/>
              <w:ind w:left="513" w:hanging="285"/>
              <w:jc w:val="both"/>
              <w:rPr>
                <w:rFonts w:ascii="Times New Roman" w:eastAsia="Times New Roman" w:hAnsi="Times New Roman" w:cs="Times New Roman"/>
                <w:sz w:val="24"/>
                <w:szCs w:val="24"/>
              </w:rPr>
            </w:pPr>
            <w:r w:rsidRPr="00AE1C1B">
              <w:rPr>
                <w:rFonts w:ascii="'Times New Roman'" w:eastAsia="Times New Roman" w:hAnsi="'Times New Roman'" w:cs="Times New Roman"/>
                <w:sz w:val="20"/>
                <w:szCs w:val="20"/>
                <w:lang w:val="es-ES_tradnl"/>
              </w:rPr>
              <w:t>- Lưu TH, ĐT.</w:t>
            </w:r>
          </w:p>
          <w:p w:rsidR="00AE1C1B" w:rsidRPr="00AE1C1B" w:rsidRDefault="00AE1C1B" w:rsidP="00AE1C1B">
            <w:pPr>
              <w:spacing w:before="100" w:beforeAutospacing="1" w:after="100" w:afterAutospacing="1" w:line="240" w:lineRule="auto"/>
              <w:jc w:val="both"/>
              <w:rPr>
                <w:rFonts w:ascii="Times New Roman" w:eastAsia="Times New Roman" w:hAnsi="Times New Roman" w:cs="Times New Roman"/>
                <w:sz w:val="24"/>
                <w:szCs w:val="24"/>
              </w:rPr>
            </w:pPr>
            <w:r w:rsidRPr="00AE1C1B">
              <w:rPr>
                <w:rFonts w:ascii="Times New Roman" w:eastAsia="Times New Roman" w:hAnsi="Times New Roman" w:cs="Times New Roman"/>
                <w:sz w:val="24"/>
                <w:szCs w:val="24"/>
                <w:lang w:val="es-ES_tradnl"/>
              </w:rPr>
              <w:t> </w:t>
            </w:r>
          </w:p>
        </w:tc>
        <w:tc>
          <w:tcPr>
            <w:tcW w:w="3260" w:type="dxa"/>
            <w:tcMar>
              <w:top w:w="0" w:type="dxa"/>
              <w:left w:w="108" w:type="dxa"/>
              <w:bottom w:w="0" w:type="dxa"/>
              <w:right w:w="108" w:type="dxa"/>
            </w:tcMar>
            <w:hideMark/>
          </w:tcPr>
          <w:p w:rsidR="00AE1C1B" w:rsidRPr="00AE1C1B" w:rsidRDefault="00AE1C1B" w:rsidP="00AE1C1B">
            <w:pPr>
              <w:spacing w:before="120" w:after="100" w:afterAutospacing="1" w:line="234" w:lineRule="atLeast"/>
              <w:jc w:val="center"/>
              <w:rPr>
                <w:rFonts w:ascii="Times New Roman" w:eastAsia="Times New Roman" w:hAnsi="Times New Roman" w:cs="Times New Roman"/>
                <w:sz w:val="24"/>
                <w:szCs w:val="24"/>
              </w:rPr>
            </w:pPr>
            <w:r w:rsidRPr="00AE1C1B">
              <w:rPr>
                <w:rFonts w:ascii="'Times New Roman'" w:eastAsia="Times New Roman" w:hAnsi="'Times New Roman'" w:cs="Times New Roman"/>
                <w:b/>
                <w:bCs/>
                <w:sz w:val="27"/>
              </w:rPr>
              <w:t>HIỆU TRƯỞNG</w:t>
            </w:r>
          </w:p>
          <w:p w:rsidR="00AE1C1B" w:rsidRPr="00AE1C1B" w:rsidRDefault="00AE1C1B" w:rsidP="00AE1C1B">
            <w:pPr>
              <w:spacing w:before="100" w:beforeAutospacing="1" w:after="100" w:afterAutospacing="1" w:line="234" w:lineRule="atLeast"/>
              <w:jc w:val="center"/>
              <w:rPr>
                <w:rFonts w:ascii="Times New Roman" w:eastAsia="Times New Roman" w:hAnsi="Times New Roman" w:cs="Times New Roman"/>
                <w:sz w:val="24"/>
                <w:szCs w:val="24"/>
              </w:rPr>
            </w:pPr>
            <w:r w:rsidRPr="00AE1C1B">
              <w:rPr>
                <w:rFonts w:ascii="'Times New Roman'" w:eastAsia="Times New Roman" w:hAnsi="'Times New Roman'" w:cs="Times New Roman"/>
                <w:b/>
                <w:bCs/>
                <w:i/>
                <w:iCs/>
                <w:sz w:val="24"/>
                <w:szCs w:val="24"/>
              </w:rPr>
              <w:t> (Đã ký)</w:t>
            </w:r>
          </w:p>
          <w:p w:rsidR="00AE1C1B" w:rsidRPr="00AE1C1B" w:rsidRDefault="00AE1C1B" w:rsidP="00AE1C1B">
            <w:pPr>
              <w:spacing w:before="240" w:after="60" w:line="240" w:lineRule="auto"/>
              <w:jc w:val="center"/>
              <w:rPr>
                <w:rFonts w:ascii="Times New Roman" w:eastAsia="Times New Roman" w:hAnsi="Times New Roman" w:cs="Times New Roman"/>
                <w:sz w:val="24"/>
                <w:szCs w:val="24"/>
              </w:rPr>
            </w:pPr>
            <w:r w:rsidRPr="00AE1C1B">
              <w:rPr>
                <w:rFonts w:ascii="'Times New Roman'" w:eastAsia="Times New Roman" w:hAnsi="'Times New Roman'" w:cs="Times New Roman"/>
                <w:b/>
                <w:bCs/>
                <w:sz w:val="24"/>
                <w:szCs w:val="24"/>
              </w:rPr>
              <w:t> </w:t>
            </w:r>
          </w:p>
          <w:p w:rsidR="00AE1C1B" w:rsidRPr="00AE1C1B" w:rsidRDefault="00AE1C1B" w:rsidP="00AE1C1B">
            <w:pPr>
              <w:spacing w:before="240" w:after="60" w:line="240" w:lineRule="auto"/>
              <w:jc w:val="center"/>
              <w:rPr>
                <w:rFonts w:ascii="Times New Roman" w:eastAsia="Times New Roman" w:hAnsi="Times New Roman" w:cs="Times New Roman"/>
                <w:sz w:val="24"/>
                <w:szCs w:val="24"/>
              </w:rPr>
            </w:pPr>
            <w:r w:rsidRPr="00AE1C1B">
              <w:rPr>
                <w:rFonts w:ascii="'Times New Roman'" w:eastAsia="Times New Roman" w:hAnsi="'Times New Roman'" w:cs="Times New Roman"/>
                <w:b/>
                <w:bCs/>
                <w:sz w:val="2"/>
              </w:rPr>
              <w:t> </w:t>
            </w:r>
            <w:r w:rsidRPr="00AE1C1B">
              <w:rPr>
                <w:rFonts w:ascii="Times New Roman" w:eastAsia="Times New Roman" w:hAnsi="Times New Roman" w:cs="Times New Roman"/>
                <w:b/>
                <w:bCs/>
                <w:sz w:val="24"/>
                <w:szCs w:val="24"/>
              </w:rPr>
              <w:t> </w:t>
            </w:r>
            <w:r w:rsidRPr="00AE1C1B">
              <w:rPr>
                <w:rFonts w:ascii="Times New Roman" w:eastAsia="Times New Roman" w:hAnsi="Times New Roman" w:cs="Times New Roman"/>
                <w:b/>
                <w:bCs/>
                <w:sz w:val="27"/>
              </w:rPr>
              <w:t>TS. Đỗ Đình Đức</w:t>
            </w:r>
          </w:p>
        </w:tc>
      </w:tr>
    </w:tbl>
    <w:p w:rsidR="003A5E8E" w:rsidRDefault="003A5E8E"/>
    <w:sectPr w:rsidR="003A5E8E" w:rsidSect="003A5E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VnTim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E1C1B"/>
    <w:rsid w:val="003A5E8E"/>
    <w:rsid w:val="00AE1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8E"/>
  </w:style>
  <w:style w:type="paragraph" w:styleId="Heading1">
    <w:name w:val="heading 1"/>
    <w:basedOn w:val="Normal"/>
    <w:link w:val="Heading1Char"/>
    <w:uiPriority w:val="9"/>
    <w:qFormat/>
    <w:rsid w:val="00AE1C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C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E1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1C1B"/>
  </w:style>
  <w:style w:type="character" w:styleId="Strong">
    <w:name w:val="Strong"/>
    <w:basedOn w:val="DefaultParagraphFont"/>
    <w:uiPriority w:val="22"/>
    <w:qFormat/>
    <w:rsid w:val="00AE1C1B"/>
    <w:rPr>
      <w:b/>
      <w:bCs/>
    </w:rPr>
  </w:style>
  <w:style w:type="character" w:styleId="Emphasis">
    <w:name w:val="Emphasis"/>
    <w:basedOn w:val="DefaultParagraphFont"/>
    <w:uiPriority w:val="20"/>
    <w:qFormat/>
    <w:rsid w:val="00AE1C1B"/>
    <w:rPr>
      <w:i/>
      <w:iCs/>
    </w:rPr>
  </w:style>
  <w:style w:type="paragraph" w:customStyle="1" w:styleId="default">
    <w:name w:val="default"/>
    <w:basedOn w:val="Normal"/>
    <w:rsid w:val="00AE1C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3718268">
      <w:bodyDiv w:val="1"/>
      <w:marLeft w:val="0"/>
      <w:marRight w:val="0"/>
      <w:marTop w:val="0"/>
      <w:marBottom w:val="0"/>
      <w:divBdr>
        <w:top w:val="none" w:sz="0" w:space="0" w:color="auto"/>
        <w:left w:val="none" w:sz="0" w:space="0" w:color="auto"/>
        <w:bottom w:val="none" w:sz="0" w:space="0" w:color="auto"/>
        <w:right w:val="none" w:sz="0" w:space="0" w:color="auto"/>
      </w:divBdr>
      <w:divsChild>
        <w:div w:id="48104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2016-12-29T04:27:00Z</dcterms:created>
  <dcterms:modified xsi:type="dcterms:W3CDTF">2016-12-29T04:28:00Z</dcterms:modified>
</cp:coreProperties>
</file>